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86293869/2996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Краснокуров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</w:t>
      </w:r>
      <w:r>
        <w:rPr>
          <w:rFonts w:ascii="Times New Roman" w:eastAsia="Times New Roman" w:hAnsi="Times New Roman" w:cs="Times New Roman"/>
          <w:sz w:val="26"/>
          <w:szCs w:val="26"/>
        </w:rPr>
        <w:t>, получает пенсию, которую тратит на еду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инвалидом 2 группы.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01.11.2023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16.05.2023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293509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86293869/2996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неудовлетворительное состояние здоровья.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Краснокурова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двадцать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0412365400725004642420119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